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9289" w14:textId="69546946" w:rsidR="00BA5DFC" w:rsidRPr="00E6465A" w:rsidRDefault="00D34DEC" w:rsidP="00067251">
      <w:pPr>
        <w:contextualSpacing/>
        <w:rPr>
          <w:rFonts w:asciiTheme="majorHAnsi" w:hAnsiTheme="majorHAnsi" w:cstheme="majorHAnsi"/>
          <w:b/>
          <w:bCs/>
          <w:u w:val="single"/>
        </w:rPr>
      </w:pPr>
      <w:r w:rsidRPr="00E6465A">
        <w:rPr>
          <w:rFonts w:asciiTheme="majorHAnsi" w:hAnsiTheme="majorHAnsi" w:cstheme="majorHAnsi"/>
          <w:b/>
          <w:bCs/>
          <w:u w:val="single"/>
        </w:rPr>
        <w:t xml:space="preserve">Code of Practice – </w:t>
      </w:r>
      <w:r w:rsidR="005B1A94" w:rsidRPr="00E6465A">
        <w:rPr>
          <w:rFonts w:asciiTheme="majorHAnsi" w:hAnsiTheme="majorHAnsi" w:cstheme="majorHAnsi"/>
          <w:b/>
          <w:bCs/>
          <w:u w:val="single"/>
        </w:rPr>
        <w:t xml:space="preserve">Using </w:t>
      </w:r>
      <w:r w:rsidR="00A36DB9" w:rsidRPr="00E6465A">
        <w:rPr>
          <w:rFonts w:asciiTheme="majorHAnsi" w:hAnsiTheme="majorHAnsi" w:cstheme="majorHAnsi"/>
          <w:b/>
          <w:bCs/>
          <w:u w:val="single"/>
        </w:rPr>
        <w:t xml:space="preserve">Offensive </w:t>
      </w:r>
      <w:r w:rsidRPr="00E6465A">
        <w:rPr>
          <w:rFonts w:asciiTheme="majorHAnsi" w:hAnsiTheme="majorHAnsi" w:cstheme="majorHAnsi"/>
          <w:b/>
          <w:bCs/>
          <w:u w:val="single"/>
        </w:rPr>
        <w:t>Weapons</w:t>
      </w:r>
      <w:r w:rsidR="005B1A94" w:rsidRPr="00E6465A">
        <w:rPr>
          <w:rFonts w:asciiTheme="majorHAnsi" w:hAnsiTheme="majorHAnsi" w:cstheme="majorHAnsi"/>
          <w:b/>
          <w:bCs/>
          <w:u w:val="single"/>
        </w:rPr>
        <w:t xml:space="preserve"> on a Production</w:t>
      </w:r>
    </w:p>
    <w:p w14:paraId="161AE8F1" w14:textId="77777777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2771F398" w14:textId="778C65BF" w:rsidR="00CD1F0D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>This Code of Practice</w:t>
      </w:r>
      <w:r w:rsidR="00C157BE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5B1A94" w:rsidRPr="00BC3673">
        <w:rPr>
          <w:rFonts w:asciiTheme="majorHAnsi" w:hAnsiTheme="majorHAnsi" w:cstheme="majorHAnsi"/>
          <w:sz w:val="16"/>
          <w:szCs w:val="16"/>
        </w:rPr>
        <w:t xml:space="preserve">(COP) </w:t>
      </w:r>
      <w:r w:rsidR="00EC0BFD" w:rsidRPr="00BC3673">
        <w:rPr>
          <w:rFonts w:asciiTheme="majorHAnsi" w:hAnsiTheme="majorHAnsi" w:cstheme="majorHAnsi"/>
          <w:sz w:val="16"/>
          <w:szCs w:val="16"/>
        </w:rPr>
        <w:t xml:space="preserve">document </w:t>
      </w:r>
      <w:r w:rsidR="00C157BE" w:rsidRPr="00BC3673">
        <w:rPr>
          <w:rFonts w:asciiTheme="majorHAnsi" w:hAnsiTheme="majorHAnsi" w:cstheme="majorHAnsi"/>
          <w:sz w:val="16"/>
          <w:szCs w:val="16"/>
        </w:rPr>
        <w:t xml:space="preserve">has been prepared by Performing Arts Leaning Support in </w:t>
      </w:r>
      <w:r w:rsidR="00CD1F0D" w:rsidRPr="00BC3673">
        <w:rPr>
          <w:rFonts w:asciiTheme="majorHAnsi" w:hAnsiTheme="majorHAnsi" w:cstheme="majorHAnsi"/>
          <w:sz w:val="16"/>
          <w:szCs w:val="16"/>
        </w:rPr>
        <w:t>conjunction</w:t>
      </w:r>
      <w:r w:rsidR="00C157BE" w:rsidRPr="00BC3673">
        <w:rPr>
          <w:rFonts w:asciiTheme="majorHAnsi" w:hAnsiTheme="majorHAnsi" w:cstheme="majorHAnsi"/>
          <w:sz w:val="16"/>
          <w:szCs w:val="16"/>
        </w:rPr>
        <w:t xml:space="preserve"> with the Leeds School of Arts Health &amp; Safety </w:t>
      </w:r>
      <w:r w:rsidR="00CD1F0D" w:rsidRPr="00BC3673">
        <w:rPr>
          <w:rFonts w:asciiTheme="majorHAnsi" w:hAnsiTheme="majorHAnsi" w:cstheme="majorHAnsi"/>
          <w:sz w:val="16"/>
          <w:szCs w:val="16"/>
        </w:rPr>
        <w:t>Manager</w:t>
      </w:r>
      <w:r w:rsidR="00E42900" w:rsidRPr="00BC3673">
        <w:rPr>
          <w:rFonts w:asciiTheme="majorHAnsi" w:hAnsiTheme="majorHAnsi" w:cstheme="majorHAnsi"/>
          <w:sz w:val="16"/>
          <w:szCs w:val="16"/>
        </w:rPr>
        <w:t xml:space="preserve"> and Leeds Beckett Central Health &amp; Safety team</w:t>
      </w:r>
      <w:r w:rsidR="003B05ED" w:rsidRPr="00BC3673">
        <w:rPr>
          <w:rFonts w:asciiTheme="majorHAnsi" w:hAnsiTheme="majorHAnsi" w:cstheme="majorHAnsi"/>
          <w:sz w:val="16"/>
          <w:szCs w:val="16"/>
        </w:rPr>
        <w:t>.</w:t>
      </w:r>
    </w:p>
    <w:p w14:paraId="258EE717" w14:textId="77777777" w:rsidR="00CD1F0D" w:rsidRPr="00BC3673" w:rsidRDefault="00CD1F0D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7F014A7F" w14:textId="2960A828" w:rsidR="00A36DB9" w:rsidRPr="00BC3673" w:rsidRDefault="00CD1F0D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>The</w:t>
      </w:r>
      <w:r w:rsidR="003B05ED" w:rsidRPr="00BC3673">
        <w:rPr>
          <w:rFonts w:asciiTheme="majorHAnsi" w:hAnsiTheme="majorHAnsi" w:cstheme="majorHAnsi"/>
          <w:sz w:val="16"/>
          <w:szCs w:val="16"/>
        </w:rPr>
        <w:t xml:space="preserve"> purpose of this</w:t>
      </w:r>
      <w:r w:rsidRPr="00BC3673">
        <w:rPr>
          <w:rFonts w:asciiTheme="majorHAnsi" w:hAnsiTheme="majorHAnsi" w:cstheme="majorHAnsi"/>
          <w:sz w:val="16"/>
          <w:szCs w:val="16"/>
        </w:rPr>
        <w:t xml:space="preserve"> document </w:t>
      </w:r>
      <w:r w:rsidR="003B05ED" w:rsidRPr="00BC3673">
        <w:rPr>
          <w:rFonts w:asciiTheme="majorHAnsi" w:hAnsiTheme="majorHAnsi" w:cstheme="majorHAnsi"/>
          <w:sz w:val="16"/>
          <w:szCs w:val="16"/>
        </w:rPr>
        <w:t xml:space="preserve">is to 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outline best practice for the use of </w:t>
      </w:r>
      <w:r w:rsidR="00A36DB9" w:rsidRPr="00BC3673">
        <w:rPr>
          <w:rFonts w:asciiTheme="majorHAnsi" w:hAnsiTheme="majorHAnsi" w:cstheme="majorHAnsi"/>
          <w:b/>
          <w:bCs/>
          <w:sz w:val="16"/>
          <w:szCs w:val="16"/>
        </w:rPr>
        <w:t>offensive weapons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in a </w:t>
      </w:r>
      <w:r w:rsidR="00A36DB9" w:rsidRPr="00BC3673">
        <w:rPr>
          <w:rFonts w:asciiTheme="majorHAnsi" w:hAnsiTheme="majorHAnsi" w:cstheme="majorHAnsi"/>
          <w:b/>
          <w:bCs/>
          <w:sz w:val="16"/>
          <w:szCs w:val="16"/>
        </w:rPr>
        <w:t>production</w:t>
      </w:r>
      <w:r w:rsidR="00DD4C9D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443259" w:rsidRPr="00BC3673">
        <w:rPr>
          <w:rFonts w:asciiTheme="majorHAnsi" w:hAnsiTheme="majorHAnsi" w:cstheme="majorHAnsi"/>
          <w:sz w:val="16"/>
          <w:szCs w:val="16"/>
        </w:rPr>
        <w:t>occurring at, or associated with, Leeds Beckett University.</w:t>
      </w:r>
      <w:r w:rsidR="00E42900" w:rsidRPr="00BC3673">
        <w:rPr>
          <w:rFonts w:asciiTheme="majorHAnsi" w:hAnsiTheme="majorHAnsi" w:cstheme="majorHAnsi"/>
          <w:sz w:val="16"/>
          <w:szCs w:val="16"/>
        </w:rPr>
        <w:t xml:space="preserve"> It should be used as a guide</w:t>
      </w:r>
      <w:r w:rsidR="00192AB1" w:rsidRPr="00BC3673">
        <w:rPr>
          <w:rFonts w:asciiTheme="majorHAnsi" w:hAnsiTheme="majorHAnsi" w:cstheme="majorHAnsi"/>
          <w:sz w:val="16"/>
          <w:szCs w:val="16"/>
        </w:rPr>
        <w:t xml:space="preserve"> in support of local legislation and </w:t>
      </w:r>
      <w:r w:rsidR="001916C5" w:rsidRPr="00BC3673">
        <w:rPr>
          <w:rFonts w:asciiTheme="majorHAnsi" w:hAnsiTheme="majorHAnsi" w:cstheme="majorHAnsi"/>
          <w:sz w:val="16"/>
          <w:szCs w:val="16"/>
        </w:rPr>
        <w:t xml:space="preserve">further advice should </w:t>
      </w:r>
      <w:r w:rsidR="00C211FC" w:rsidRPr="00BC3673">
        <w:rPr>
          <w:rFonts w:asciiTheme="majorHAnsi" w:hAnsiTheme="majorHAnsi" w:cstheme="majorHAnsi"/>
          <w:sz w:val="16"/>
          <w:szCs w:val="16"/>
        </w:rPr>
        <w:t xml:space="preserve">always </w:t>
      </w:r>
      <w:r w:rsidR="001916C5" w:rsidRPr="00BC3673">
        <w:rPr>
          <w:rFonts w:asciiTheme="majorHAnsi" w:hAnsiTheme="majorHAnsi" w:cstheme="majorHAnsi"/>
          <w:sz w:val="16"/>
          <w:szCs w:val="16"/>
        </w:rPr>
        <w:t xml:space="preserve">be </w:t>
      </w:r>
      <w:r w:rsidR="004C5EFD" w:rsidRPr="00BC3673">
        <w:rPr>
          <w:rFonts w:asciiTheme="majorHAnsi" w:hAnsiTheme="majorHAnsi" w:cstheme="majorHAnsi"/>
          <w:sz w:val="16"/>
          <w:szCs w:val="16"/>
        </w:rPr>
        <w:t xml:space="preserve">sought to ensure </w:t>
      </w:r>
      <w:r w:rsidR="00376BE9" w:rsidRPr="00BC3673">
        <w:rPr>
          <w:rFonts w:asciiTheme="majorHAnsi" w:hAnsiTheme="majorHAnsi" w:cstheme="majorHAnsi"/>
          <w:sz w:val="16"/>
          <w:szCs w:val="16"/>
        </w:rPr>
        <w:t xml:space="preserve">persons </w:t>
      </w:r>
      <w:r w:rsidR="004C5EFD" w:rsidRPr="00BC3673">
        <w:rPr>
          <w:rFonts w:asciiTheme="majorHAnsi" w:hAnsiTheme="majorHAnsi" w:cstheme="majorHAnsi"/>
          <w:sz w:val="16"/>
          <w:szCs w:val="16"/>
        </w:rPr>
        <w:t>are working safely</w:t>
      </w:r>
      <w:r w:rsidR="00A1368B" w:rsidRPr="00BC3673">
        <w:rPr>
          <w:rFonts w:asciiTheme="majorHAnsi" w:hAnsiTheme="majorHAnsi" w:cstheme="majorHAnsi"/>
          <w:sz w:val="16"/>
          <w:szCs w:val="16"/>
        </w:rPr>
        <w:t xml:space="preserve"> and lawfully.</w:t>
      </w:r>
    </w:p>
    <w:p w14:paraId="1659C3FA" w14:textId="2AD8CBDB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7F899CC0" w14:textId="145B4CD4" w:rsidR="00A36DB9" w:rsidRPr="00BC3673" w:rsidRDefault="00C84D70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>A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A36DB9" w:rsidRPr="00BC3673">
        <w:rPr>
          <w:rFonts w:asciiTheme="majorHAnsi" w:hAnsiTheme="majorHAnsi" w:cstheme="majorHAnsi"/>
          <w:b/>
          <w:bCs/>
          <w:sz w:val="16"/>
          <w:szCs w:val="16"/>
        </w:rPr>
        <w:t>production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includes any </w:t>
      </w:r>
      <w:r w:rsidR="00EE78B2" w:rsidRPr="00BC3673">
        <w:rPr>
          <w:rFonts w:asciiTheme="majorHAnsi" w:hAnsiTheme="majorHAnsi" w:cstheme="majorHAnsi"/>
          <w:sz w:val="16"/>
          <w:szCs w:val="16"/>
        </w:rPr>
        <w:t xml:space="preserve">necessary 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rehearsals leading up to, and including, a </w:t>
      </w:r>
      <w:r w:rsidR="00A36DB9" w:rsidRPr="00BC3673">
        <w:rPr>
          <w:rFonts w:asciiTheme="majorHAnsi" w:hAnsiTheme="majorHAnsi" w:cstheme="majorHAnsi"/>
          <w:b/>
          <w:bCs/>
          <w:sz w:val="16"/>
          <w:szCs w:val="16"/>
        </w:rPr>
        <w:t>performance</w:t>
      </w:r>
      <w:r w:rsidR="00A36DB9" w:rsidRPr="00BC3673">
        <w:rPr>
          <w:rFonts w:asciiTheme="majorHAnsi" w:hAnsiTheme="majorHAnsi" w:cstheme="majorHAnsi"/>
          <w:sz w:val="16"/>
          <w:szCs w:val="16"/>
        </w:rPr>
        <w:t>.</w:t>
      </w:r>
    </w:p>
    <w:p w14:paraId="1FF64703" w14:textId="7D99CD81" w:rsidR="00C84D70" w:rsidRPr="00BC3673" w:rsidRDefault="00C84D70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A 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performance </w:t>
      </w:r>
      <w:r w:rsidRPr="00BC3673">
        <w:rPr>
          <w:rFonts w:asciiTheme="majorHAnsi" w:hAnsiTheme="majorHAnsi" w:cstheme="majorHAnsi"/>
          <w:sz w:val="16"/>
          <w:szCs w:val="16"/>
        </w:rPr>
        <w:t xml:space="preserve">may include </w:t>
      </w:r>
      <w:r w:rsidR="00CC5022" w:rsidRPr="00BC3673">
        <w:rPr>
          <w:rFonts w:asciiTheme="majorHAnsi" w:hAnsiTheme="majorHAnsi" w:cstheme="majorHAnsi"/>
          <w:sz w:val="16"/>
          <w:szCs w:val="16"/>
        </w:rPr>
        <w:t xml:space="preserve">a </w:t>
      </w:r>
      <w:r w:rsidR="00CC5022" w:rsidRPr="00BC3673">
        <w:rPr>
          <w:rFonts w:asciiTheme="majorHAnsi" w:hAnsiTheme="majorHAnsi" w:cstheme="majorHAnsi"/>
          <w:b/>
          <w:bCs/>
          <w:sz w:val="16"/>
          <w:szCs w:val="16"/>
        </w:rPr>
        <w:t>public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BC3673">
        <w:rPr>
          <w:rFonts w:asciiTheme="majorHAnsi" w:hAnsiTheme="majorHAnsi" w:cstheme="majorHAnsi"/>
          <w:sz w:val="16"/>
          <w:szCs w:val="16"/>
        </w:rPr>
        <w:t>audience</w:t>
      </w:r>
      <w:r w:rsidR="00CC5022" w:rsidRPr="00BC3673">
        <w:rPr>
          <w:rFonts w:asciiTheme="majorHAnsi" w:hAnsiTheme="majorHAnsi" w:cstheme="majorHAnsi"/>
          <w:sz w:val="16"/>
          <w:szCs w:val="16"/>
        </w:rPr>
        <w:t>.</w:t>
      </w:r>
    </w:p>
    <w:p w14:paraId="3AAD5C83" w14:textId="0DA0D296" w:rsidR="00CC5022" w:rsidRPr="00BC3673" w:rsidRDefault="00CC5022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The 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>public</w:t>
      </w:r>
      <w:r w:rsidRPr="00BC3673">
        <w:rPr>
          <w:rFonts w:asciiTheme="majorHAnsi" w:hAnsiTheme="majorHAnsi" w:cstheme="majorHAnsi"/>
          <w:sz w:val="16"/>
          <w:szCs w:val="16"/>
        </w:rPr>
        <w:t xml:space="preserve"> would include anyone who is not a student, a member of staff or a </w:t>
      </w:r>
      <w:r w:rsidR="00760BA8" w:rsidRPr="00BC3673">
        <w:rPr>
          <w:rFonts w:asciiTheme="majorHAnsi" w:hAnsiTheme="majorHAnsi" w:cstheme="majorHAnsi"/>
          <w:sz w:val="16"/>
          <w:szCs w:val="16"/>
        </w:rPr>
        <w:t xml:space="preserve">known </w:t>
      </w:r>
      <w:r w:rsidRPr="00BC3673">
        <w:rPr>
          <w:rFonts w:asciiTheme="majorHAnsi" w:hAnsiTheme="majorHAnsi" w:cstheme="majorHAnsi"/>
          <w:sz w:val="16"/>
          <w:szCs w:val="16"/>
        </w:rPr>
        <w:t>Leeds Beckett associate.</w:t>
      </w:r>
    </w:p>
    <w:p w14:paraId="414E9A7E" w14:textId="77777777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3C6ED8C0" w14:textId="23A5E691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>An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 offensive weapon </w:t>
      </w:r>
      <w:r w:rsidRPr="00BC3673">
        <w:rPr>
          <w:rFonts w:asciiTheme="majorHAnsi" w:hAnsiTheme="majorHAnsi" w:cstheme="majorHAnsi"/>
          <w:sz w:val="16"/>
          <w:szCs w:val="16"/>
        </w:rPr>
        <w:t xml:space="preserve">is anything that </w:t>
      </w:r>
      <w:r w:rsidR="00760BA8" w:rsidRPr="00BC3673">
        <w:rPr>
          <w:rFonts w:asciiTheme="majorHAnsi" w:hAnsiTheme="majorHAnsi" w:cstheme="majorHAnsi"/>
          <w:sz w:val="16"/>
          <w:szCs w:val="16"/>
        </w:rPr>
        <w:t xml:space="preserve">could </w:t>
      </w:r>
      <w:r w:rsidRPr="00BC3673">
        <w:rPr>
          <w:rFonts w:asciiTheme="majorHAnsi" w:hAnsiTheme="majorHAnsi" w:cstheme="majorHAnsi"/>
          <w:sz w:val="16"/>
          <w:szCs w:val="16"/>
        </w:rPr>
        <w:t>potentially</w:t>
      </w:r>
      <w:r w:rsidR="00760BA8" w:rsidRPr="00BC3673">
        <w:rPr>
          <w:rFonts w:asciiTheme="majorHAnsi" w:hAnsiTheme="majorHAnsi" w:cstheme="majorHAnsi"/>
          <w:sz w:val="16"/>
          <w:szCs w:val="16"/>
        </w:rPr>
        <w:t xml:space="preserve"> cause harm,</w:t>
      </w:r>
      <w:r w:rsidRPr="00BC3673">
        <w:rPr>
          <w:rFonts w:asciiTheme="majorHAnsi" w:hAnsiTheme="majorHAnsi" w:cstheme="majorHAnsi"/>
          <w:sz w:val="16"/>
          <w:szCs w:val="16"/>
        </w:rPr>
        <w:t xml:space="preserve"> o</w:t>
      </w:r>
      <w:r w:rsidR="00760BA8" w:rsidRPr="00BC3673">
        <w:rPr>
          <w:rFonts w:asciiTheme="majorHAnsi" w:hAnsiTheme="majorHAnsi" w:cstheme="majorHAnsi"/>
          <w:sz w:val="16"/>
          <w:szCs w:val="16"/>
        </w:rPr>
        <w:t>r that</w:t>
      </w:r>
      <w:r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EF0345" w:rsidRPr="00BC3673">
        <w:rPr>
          <w:rFonts w:asciiTheme="majorHAnsi" w:hAnsiTheme="majorHAnsi" w:cstheme="majorHAnsi"/>
          <w:sz w:val="16"/>
          <w:szCs w:val="16"/>
        </w:rPr>
        <w:t>an</w:t>
      </w:r>
      <w:r w:rsidRPr="00BC3673">
        <w:rPr>
          <w:rFonts w:asciiTheme="majorHAnsi" w:hAnsiTheme="majorHAnsi" w:cstheme="majorHAnsi"/>
          <w:sz w:val="16"/>
          <w:szCs w:val="16"/>
        </w:rPr>
        <w:t xml:space="preserve">other </w:t>
      </w:r>
      <w:r w:rsidR="00EF0345" w:rsidRPr="00BC3673">
        <w:rPr>
          <w:rFonts w:asciiTheme="majorHAnsi" w:hAnsiTheme="majorHAnsi" w:cstheme="majorHAnsi"/>
          <w:sz w:val="16"/>
          <w:szCs w:val="16"/>
        </w:rPr>
        <w:t xml:space="preserve">person </w:t>
      </w:r>
      <w:r w:rsidRPr="00BC3673">
        <w:rPr>
          <w:rFonts w:asciiTheme="majorHAnsi" w:hAnsiTheme="majorHAnsi" w:cstheme="majorHAnsi"/>
          <w:sz w:val="16"/>
          <w:szCs w:val="16"/>
        </w:rPr>
        <w:t>believe</w:t>
      </w:r>
      <w:r w:rsidR="00EF0345" w:rsidRPr="00BC3673">
        <w:rPr>
          <w:rFonts w:asciiTheme="majorHAnsi" w:hAnsiTheme="majorHAnsi" w:cstheme="majorHAnsi"/>
          <w:sz w:val="16"/>
          <w:szCs w:val="16"/>
        </w:rPr>
        <w:t>s</w:t>
      </w:r>
      <w:r w:rsidR="00760BA8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Pr="00BC3673">
        <w:rPr>
          <w:rFonts w:asciiTheme="majorHAnsi" w:hAnsiTheme="majorHAnsi" w:cstheme="majorHAnsi"/>
          <w:sz w:val="16"/>
          <w:szCs w:val="16"/>
        </w:rPr>
        <w:t>could cause harm.</w:t>
      </w:r>
    </w:p>
    <w:p w14:paraId="47BAC148" w14:textId="1EED6D14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This includes </w:t>
      </w:r>
      <w:r w:rsidR="00EF0345" w:rsidRPr="00BC3673">
        <w:rPr>
          <w:rFonts w:asciiTheme="majorHAnsi" w:hAnsiTheme="majorHAnsi" w:cstheme="majorHAnsi"/>
          <w:sz w:val="16"/>
          <w:szCs w:val="16"/>
        </w:rPr>
        <w:t xml:space="preserve">any </w:t>
      </w:r>
      <w:r w:rsidRPr="00BC3673">
        <w:rPr>
          <w:rFonts w:asciiTheme="majorHAnsi" w:hAnsiTheme="majorHAnsi" w:cstheme="majorHAnsi"/>
          <w:sz w:val="16"/>
          <w:szCs w:val="16"/>
        </w:rPr>
        <w:t>replica items, as these can be perceived as real – as well as real weapons.</w:t>
      </w:r>
    </w:p>
    <w:p w14:paraId="5F708E1E" w14:textId="7E1C1FCA" w:rsidR="00BC3673" w:rsidRPr="00BC3673" w:rsidRDefault="00BC3673" w:rsidP="00BC3673">
      <w:pPr>
        <w:contextualSpacing/>
        <w:rPr>
          <w:rFonts w:asciiTheme="majorHAnsi" w:hAnsiTheme="majorHAnsi" w:cstheme="majorHAnsi"/>
          <w:b/>
          <w:bCs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For use on production, a weapon is often referred to as a 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>prop.</w:t>
      </w:r>
    </w:p>
    <w:p w14:paraId="7C08F806" w14:textId="77777777" w:rsidR="00BC3673" w:rsidRPr="00BC3673" w:rsidRDefault="00BC3673" w:rsidP="00BC3673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Props </w:t>
      </w:r>
      <w:r w:rsidRPr="00BC3673">
        <w:rPr>
          <w:rFonts w:asciiTheme="majorHAnsi" w:hAnsiTheme="majorHAnsi" w:cstheme="majorHAnsi"/>
          <w:sz w:val="16"/>
          <w:szCs w:val="16"/>
        </w:rPr>
        <w:t>(short for properties) are usually hand-held items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BC3673">
        <w:rPr>
          <w:rFonts w:asciiTheme="majorHAnsi" w:hAnsiTheme="majorHAnsi" w:cstheme="majorHAnsi"/>
          <w:sz w:val="16"/>
          <w:szCs w:val="16"/>
        </w:rPr>
        <w:t>used by a performer as part of a production.</w:t>
      </w:r>
    </w:p>
    <w:p w14:paraId="7EA01C74" w14:textId="77777777" w:rsidR="00BC3673" w:rsidRPr="00BC3673" w:rsidRDefault="00BC3673" w:rsidP="00BC3673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473115EA" w14:textId="0667C3BB" w:rsidR="00BC3673" w:rsidRPr="00BC3673" w:rsidRDefault="00BC3673" w:rsidP="00BC3673">
      <w:pPr>
        <w:contextualSpacing/>
        <w:rPr>
          <w:rFonts w:asciiTheme="majorHAnsi" w:hAnsiTheme="majorHAnsi" w:cstheme="majorHAnsi"/>
          <w:i/>
          <w:iCs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Examples of props/weapons often used of productions include </w:t>
      </w:r>
      <w:r w:rsidRPr="00BC3673">
        <w:rPr>
          <w:rFonts w:asciiTheme="majorHAnsi" w:hAnsiTheme="majorHAnsi" w:cstheme="majorHAnsi"/>
          <w:i/>
          <w:iCs/>
          <w:sz w:val="16"/>
          <w:szCs w:val="16"/>
        </w:rPr>
        <w:t>firearms, knives, daggers, swords, and spears.</w:t>
      </w:r>
    </w:p>
    <w:p w14:paraId="41228BB2" w14:textId="77777777" w:rsidR="00BC3673" w:rsidRPr="00BC3673" w:rsidRDefault="00BC3673" w:rsidP="00BC3673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>There are strict guidelines around the use of firearms in any production and we advise further reading on this.</w:t>
      </w:r>
    </w:p>
    <w:p w14:paraId="237B5209" w14:textId="77777777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2E34D7CC" w14:textId="77777777" w:rsidR="00012876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It is important to understand that any person with an offensive weapon in a 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>public place</w:t>
      </w:r>
      <w:r w:rsidRPr="00BC3673">
        <w:rPr>
          <w:rFonts w:asciiTheme="majorHAnsi" w:hAnsiTheme="majorHAnsi" w:cstheme="majorHAnsi"/>
          <w:sz w:val="16"/>
          <w:szCs w:val="16"/>
        </w:rPr>
        <w:t xml:space="preserve"> may be found guilty of an offence. </w:t>
      </w:r>
    </w:p>
    <w:p w14:paraId="52518824" w14:textId="2B6DDDB6" w:rsidR="00A36DB9" w:rsidRPr="00BC3673" w:rsidRDefault="005C1503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>Any p</w:t>
      </w:r>
      <w:r w:rsidR="00A36DB9" w:rsidRPr="00BC3673">
        <w:rPr>
          <w:rFonts w:asciiTheme="majorHAnsi" w:hAnsiTheme="majorHAnsi" w:cstheme="majorHAnsi"/>
          <w:sz w:val="16"/>
          <w:szCs w:val="16"/>
        </w:rPr>
        <w:t>erson</w:t>
      </w:r>
      <w:r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who </w:t>
      </w:r>
      <w:r w:rsidR="00892129" w:rsidRPr="00BC3673">
        <w:rPr>
          <w:rFonts w:asciiTheme="majorHAnsi" w:hAnsiTheme="majorHAnsi" w:cstheme="majorHAnsi"/>
          <w:sz w:val="16"/>
          <w:szCs w:val="16"/>
        </w:rPr>
        <w:t>displays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a weapon </w:t>
      </w:r>
      <w:r w:rsidR="00892129" w:rsidRPr="00BC3673">
        <w:rPr>
          <w:rFonts w:asciiTheme="majorHAnsi" w:hAnsiTheme="majorHAnsi" w:cstheme="majorHAnsi"/>
          <w:sz w:val="16"/>
          <w:szCs w:val="16"/>
        </w:rPr>
        <w:t xml:space="preserve">in a public place </w:t>
      </w:r>
      <w:r w:rsidR="00A36DB9" w:rsidRPr="00BC3673">
        <w:rPr>
          <w:rFonts w:asciiTheme="majorHAnsi" w:hAnsiTheme="majorHAnsi" w:cstheme="majorHAnsi"/>
          <w:sz w:val="16"/>
          <w:szCs w:val="16"/>
        </w:rPr>
        <w:t>put</w:t>
      </w:r>
      <w:r w:rsidRPr="00BC3673">
        <w:rPr>
          <w:rFonts w:asciiTheme="majorHAnsi" w:hAnsiTheme="majorHAnsi" w:cstheme="majorHAnsi"/>
          <w:sz w:val="16"/>
          <w:szCs w:val="16"/>
        </w:rPr>
        <w:t>s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themselves, and others, in significant danger with risk of intervention from law enforcement</w:t>
      </w:r>
      <w:r w:rsidRPr="00BC3673">
        <w:rPr>
          <w:rFonts w:asciiTheme="majorHAnsi" w:hAnsiTheme="majorHAnsi" w:cstheme="majorHAnsi"/>
          <w:sz w:val="16"/>
          <w:szCs w:val="16"/>
        </w:rPr>
        <w:t xml:space="preserve"> – resulting i</w:t>
      </w:r>
      <w:r w:rsidR="00AE5C2F" w:rsidRPr="00BC3673">
        <w:rPr>
          <w:rFonts w:asciiTheme="majorHAnsi" w:hAnsiTheme="majorHAnsi" w:cstheme="majorHAnsi"/>
          <w:sz w:val="16"/>
          <w:szCs w:val="16"/>
        </w:rPr>
        <w:t xml:space="preserve">n </w:t>
      </w:r>
      <w:r w:rsidR="00F077A4" w:rsidRPr="00BC3673">
        <w:rPr>
          <w:rFonts w:asciiTheme="majorHAnsi" w:hAnsiTheme="majorHAnsi" w:cstheme="majorHAnsi"/>
          <w:sz w:val="16"/>
          <w:szCs w:val="16"/>
        </w:rPr>
        <w:t xml:space="preserve">outcomes from </w:t>
      </w:r>
      <w:r w:rsidR="00DB43F1" w:rsidRPr="00BC3673">
        <w:rPr>
          <w:rFonts w:asciiTheme="majorHAnsi" w:hAnsiTheme="majorHAnsi" w:cstheme="majorHAnsi"/>
          <w:sz w:val="16"/>
          <w:szCs w:val="16"/>
        </w:rPr>
        <w:t>time wasted by authorities, through to</w:t>
      </w:r>
      <w:r w:rsidR="00BC3673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DB43F1" w:rsidRPr="00BC3673">
        <w:rPr>
          <w:rFonts w:asciiTheme="majorHAnsi" w:hAnsiTheme="majorHAnsi" w:cstheme="majorHAnsi"/>
          <w:sz w:val="16"/>
          <w:szCs w:val="16"/>
        </w:rPr>
        <w:t>fatalities</w:t>
      </w:r>
      <w:r w:rsidR="00892129" w:rsidRPr="00BC3673">
        <w:rPr>
          <w:rFonts w:asciiTheme="majorHAnsi" w:hAnsiTheme="majorHAnsi" w:cstheme="majorHAnsi"/>
          <w:sz w:val="16"/>
          <w:szCs w:val="16"/>
        </w:rPr>
        <w:t>.</w:t>
      </w:r>
    </w:p>
    <w:p w14:paraId="72E8E619" w14:textId="77777777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5F248BD5" w14:textId="77777777" w:rsidR="00F077A4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A 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>public place</w:t>
      </w:r>
      <w:r w:rsidRPr="00BC3673">
        <w:rPr>
          <w:rFonts w:asciiTheme="majorHAnsi" w:hAnsiTheme="majorHAnsi" w:cstheme="majorHAnsi"/>
          <w:sz w:val="16"/>
          <w:szCs w:val="16"/>
        </w:rPr>
        <w:t xml:space="preserve"> includes any area where the public may have access, or a place that </w:t>
      </w:r>
      <w:r w:rsidR="00892129" w:rsidRPr="00BC3673">
        <w:rPr>
          <w:rFonts w:asciiTheme="majorHAnsi" w:hAnsiTheme="majorHAnsi" w:cstheme="majorHAnsi"/>
          <w:sz w:val="16"/>
          <w:szCs w:val="16"/>
        </w:rPr>
        <w:t xml:space="preserve">could be </w:t>
      </w:r>
      <w:r w:rsidRPr="00BC3673">
        <w:rPr>
          <w:rFonts w:asciiTheme="majorHAnsi" w:hAnsiTheme="majorHAnsi" w:cstheme="majorHAnsi"/>
          <w:sz w:val="16"/>
          <w:szCs w:val="16"/>
        </w:rPr>
        <w:t>seen by a member of the public.</w:t>
      </w:r>
      <w:r w:rsidR="00892129" w:rsidRPr="00BC3673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30B620C1" w14:textId="1C0BCD39" w:rsidR="00A36DB9" w:rsidRDefault="00A43EAB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>W</w:t>
      </w:r>
      <w:r w:rsidR="00A36DB9" w:rsidRPr="00BC3673">
        <w:rPr>
          <w:rFonts w:asciiTheme="majorHAnsi" w:hAnsiTheme="majorHAnsi" w:cstheme="majorHAnsi"/>
          <w:sz w:val="16"/>
          <w:szCs w:val="16"/>
        </w:rPr>
        <w:t>e</w:t>
      </w:r>
      <w:r w:rsidR="00D93329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class </w:t>
      </w:r>
      <w:r w:rsidR="00F077A4" w:rsidRPr="00BC3673">
        <w:rPr>
          <w:rFonts w:asciiTheme="majorHAnsi" w:hAnsiTheme="majorHAnsi" w:cstheme="majorHAnsi"/>
          <w:sz w:val="16"/>
          <w:szCs w:val="16"/>
        </w:rPr>
        <w:t xml:space="preserve">any </w:t>
      </w:r>
      <w:r w:rsidR="00D93329" w:rsidRPr="00BC3673">
        <w:rPr>
          <w:rFonts w:asciiTheme="majorHAnsi" w:hAnsiTheme="majorHAnsi" w:cstheme="majorHAnsi"/>
          <w:sz w:val="16"/>
          <w:szCs w:val="16"/>
        </w:rPr>
        <w:t xml:space="preserve">Leeds Beckett location (including designated </w:t>
      </w:r>
      <w:r w:rsidR="00A36DB9" w:rsidRPr="00BC3673">
        <w:rPr>
          <w:rFonts w:asciiTheme="majorHAnsi" w:hAnsiTheme="majorHAnsi" w:cstheme="majorHAnsi"/>
          <w:sz w:val="16"/>
          <w:szCs w:val="16"/>
        </w:rPr>
        <w:t>performance space</w:t>
      </w:r>
      <w:r w:rsidR="00D93329" w:rsidRPr="00BC3673">
        <w:rPr>
          <w:rFonts w:asciiTheme="majorHAnsi" w:hAnsiTheme="majorHAnsi" w:cstheme="majorHAnsi"/>
          <w:sz w:val="16"/>
          <w:szCs w:val="16"/>
        </w:rPr>
        <w:t>s)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a</w:t>
      </w:r>
      <w:r w:rsidR="00D93329" w:rsidRPr="00BC3673">
        <w:rPr>
          <w:rFonts w:asciiTheme="majorHAnsi" w:hAnsiTheme="majorHAnsi" w:cstheme="majorHAnsi"/>
          <w:sz w:val="16"/>
          <w:szCs w:val="16"/>
        </w:rPr>
        <w:t>s a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public place – regardless of audience presence.</w:t>
      </w:r>
    </w:p>
    <w:p w14:paraId="0BCCB503" w14:textId="0CF5C6C7" w:rsidR="00BE4B52" w:rsidRPr="00BC3673" w:rsidRDefault="00BE4B52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Always consider your proximity a public place, and what the use of a weapon may be conceived as by a member of the public.</w:t>
      </w:r>
    </w:p>
    <w:p w14:paraId="0F2B2091" w14:textId="1024C97A" w:rsidR="00A36DB9" w:rsidRPr="00BC3673" w:rsidRDefault="00A36DB9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72FED105" w14:textId="77777777" w:rsidR="00F206CC" w:rsidRPr="00BC3673" w:rsidRDefault="002B6328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b/>
          <w:bCs/>
          <w:sz w:val="16"/>
          <w:szCs w:val="16"/>
        </w:rPr>
        <w:t>R</w:t>
      </w:r>
      <w:r w:rsidR="003B3956" w:rsidRPr="00BC3673">
        <w:rPr>
          <w:rFonts w:asciiTheme="majorHAnsi" w:hAnsiTheme="majorHAnsi" w:cstheme="majorHAnsi"/>
          <w:b/>
          <w:bCs/>
          <w:sz w:val="16"/>
          <w:szCs w:val="16"/>
        </w:rPr>
        <w:t>elevant</w:t>
      </w:r>
      <w:r w:rsidR="00A438D7"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 authorities</w:t>
      </w:r>
      <w:r w:rsidR="003B3956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must know if you are intending to use any weapons in your production to ensure you are managing these correctly. </w:t>
      </w:r>
    </w:p>
    <w:p w14:paraId="49F005C5" w14:textId="2398AA19" w:rsidR="002B6328" w:rsidRPr="00BC3673" w:rsidRDefault="003B18E1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Failure </w:t>
      </w:r>
      <w:r w:rsidR="00991A15" w:rsidRPr="00BC3673">
        <w:rPr>
          <w:rFonts w:asciiTheme="majorHAnsi" w:hAnsiTheme="majorHAnsi" w:cstheme="majorHAnsi"/>
          <w:sz w:val="16"/>
          <w:szCs w:val="16"/>
        </w:rPr>
        <w:t>to notify these persons about the use of weapons in a production will result in a production being stopped.</w:t>
      </w:r>
    </w:p>
    <w:p w14:paraId="3FB457F9" w14:textId="77777777" w:rsidR="002B6328" w:rsidRPr="00BC3673" w:rsidRDefault="002B6328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2C812654" w14:textId="4EE0E09F" w:rsidR="003B3956" w:rsidRPr="00BC3673" w:rsidRDefault="00991A15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sz w:val="16"/>
          <w:szCs w:val="16"/>
        </w:rPr>
        <w:t xml:space="preserve">For this document, </w:t>
      </w:r>
      <w:r w:rsidRPr="00BC3673">
        <w:rPr>
          <w:rFonts w:asciiTheme="majorHAnsi" w:hAnsiTheme="majorHAnsi" w:cstheme="majorHAnsi"/>
          <w:b/>
          <w:bCs/>
          <w:sz w:val="16"/>
          <w:szCs w:val="16"/>
        </w:rPr>
        <w:t>r</w:t>
      </w:r>
      <w:r w:rsidR="00A438D7" w:rsidRPr="00BC3673">
        <w:rPr>
          <w:rFonts w:asciiTheme="majorHAnsi" w:hAnsiTheme="majorHAnsi" w:cstheme="majorHAnsi"/>
          <w:b/>
          <w:bCs/>
          <w:sz w:val="16"/>
          <w:szCs w:val="16"/>
        </w:rPr>
        <w:t>elevant authorities</w:t>
      </w:r>
      <w:r w:rsidR="00A438D7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3B3956" w:rsidRPr="00BC3673">
        <w:rPr>
          <w:rFonts w:asciiTheme="majorHAnsi" w:hAnsiTheme="majorHAnsi" w:cstheme="majorHAnsi"/>
          <w:sz w:val="16"/>
          <w:szCs w:val="16"/>
        </w:rPr>
        <w:t xml:space="preserve">are Leeds Beckett staff </w:t>
      </w:r>
      <w:r w:rsidR="001B2148" w:rsidRPr="00BC3673">
        <w:rPr>
          <w:rFonts w:asciiTheme="majorHAnsi" w:hAnsiTheme="majorHAnsi" w:cstheme="majorHAnsi"/>
          <w:sz w:val="16"/>
          <w:szCs w:val="16"/>
        </w:rPr>
        <w:t xml:space="preserve">working </w:t>
      </w:r>
      <w:r w:rsidR="00346764" w:rsidRPr="00BC3673">
        <w:rPr>
          <w:rFonts w:asciiTheme="majorHAnsi" w:hAnsiTheme="majorHAnsi" w:cstheme="majorHAnsi"/>
          <w:sz w:val="16"/>
          <w:szCs w:val="16"/>
        </w:rPr>
        <w:t>with</w:t>
      </w:r>
      <w:r w:rsidR="00AB7486" w:rsidRPr="00BC3673">
        <w:rPr>
          <w:rFonts w:asciiTheme="majorHAnsi" w:hAnsiTheme="majorHAnsi" w:cstheme="majorHAnsi"/>
          <w:sz w:val="16"/>
          <w:szCs w:val="16"/>
        </w:rPr>
        <w:t>, or supervising,</w:t>
      </w:r>
      <w:r w:rsidR="00346764" w:rsidRPr="00BC3673">
        <w:rPr>
          <w:rFonts w:asciiTheme="majorHAnsi" w:hAnsiTheme="majorHAnsi" w:cstheme="majorHAnsi"/>
          <w:sz w:val="16"/>
          <w:szCs w:val="16"/>
        </w:rPr>
        <w:t xml:space="preserve"> students on a production </w:t>
      </w:r>
      <w:r w:rsidR="003B3956" w:rsidRPr="00BC3673">
        <w:rPr>
          <w:rFonts w:asciiTheme="majorHAnsi" w:hAnsiTheme="majorHAnsi" w:cstheme="majorHAnsi"/>
          <w:sz w:val="16"/>
          <w:szCs w:val="16"/>
        </w:rPr>
        <w:t>– namely</w:t>
      </w:r>
      <w:r w:rsidR="001B2148" w:rsidRPr="00BC3673">
        <w:rPr>
          <w:rFonts w:asciiTheme="majorHAnsi" w:hAnsiTheme="majorHAnsi" w:cstheme="majorHAnsi"/>
          <w:sz w:val="16"/>
          <w:szCs w:val="16"/>
        </w:rPr>
        <w:t xml:space="preserve"> academic</w:t>
      </w:r>
      <w:r w:rsidR="003B3956" w:rsidRPr="00BC3673">
        <w:rPr>
          <w:rFonts w:asciiTheme="majorHAnsi" w:hAnsiTheme="majorHAnsi" w:cstheme="majorHAnsi"/>
          <w:sz w:val="16"/>
          <w:szCs w:val="16"/>
        </w:rPr>
        <w:t xml:space="preserve"> staff, such </w:t>
      </w:r>
      <w:r w:rsidR="001B2148" w:rsidRPr="00BC3673">
        <w:rPr>
          <w:rFonts w:asciiTheme="majorHAnsi" w:hAnsiTheme="majorHAnsi" w:cstheme="majorHAnsi"/>
          <w:sz w:val="16"/>
          <w:szCs w:val="16"/>
        </w:rPr>
        <w:t xml:space="preserve">module leaders, </w:t>
      </w:r>
      <w:r w:rsidR="003B3956" w:rsidRPr="00BC3673">
        <w:rPr>
          <w:rFonts w:asciiTheme="majorHAnsi" w:hAnsiTheme="majorHAnsi" w:cstheme="majorHAnsi"/>
          <w:sz w:val="16"/>
          <w:szCs w:val="16"/>
        </w:rPr>
        <w:t xml:space="preserve">or </w:t>
      </w:r>
      <w:r w:rsidR="001B2148" w:rsidRPr="00BC3673">
        <w:rPr>
          <w:rFonts w:asciiTheme="majorHAnsi" w:hAnsiTheme="majorHAnsi" w:cstheme="majorHAnsi"/>
          <w:sz w:val="16"/>
          <w:szCs w:val="16"/>
        </w:rPr>
        <w:t xml:space="preserve">department support staff, such as Learning Support. </w:t>
      </w:r>
      <w:r w:rsidR="00A438D7" w:rsidRPr="00BC3673">
        <w:rPr>
          <w:rFonts w:asciiTheme="majorHAnsi" w:hAnsiTheme="majorHAnsi" w:cstheme="majorHAnsi"/>
          <w:sz w:val="16"/>
          <w:szCs w:val="16"/>
        </w:rPr>
        <w:t xml:space="preserve">These persons will </w:t>
      </w:r>
      <w:r w:rsidR="00F252AA" w:rsidRPr="00BC3673">
        <w:rPr>
          <w:rFonts w:asciiTheme="majorHAnsi" w:hAnsiTheme="majorHAnsi" w:cstheme="majorHAnsi"/>
          <w:sz w:val="16"/>
          <w:szCs w:val="16"/>
        </w:rPr>
        <w:t>advise</w:t>
      </w:r>
      <w:r w:rsidR="00AB7486" w:rsidRPr="00BC3673">
        <w:rPr>
          <w:rFonts w:asciiTheme="majorHAnsi" w:hAnsiTheme="majorHAnsi" w:cstheme="majorHAnsi"/>
          <w:sz w:val="16"/>
          <w:szCs w:val="16"/>
        </w:rPr>
        <w:t xml:space="preserve"> productions</w:t>
      </w:r>
      <w:r w:rsidR="00F252AA" w:rsidRPr="00BC3673">
        <w:rPr>
          <w:rFonts w:asciiTheme="majorHAnsi" w:hAnsiTheme="majorHAnsi" w:cstheme="majorHAnsi"/>
          <w:sz w:val="16"/>
          <w:szCs w:val="16"/>
        </w:rPr>
        <w:t xml:space="preserve"> if further action must be taken </w:t>
      </w:r>
      <w:r w:rsidR="00ED5043" w:rsidRPr="00BC3673">
        <w:rPr>
          <w:rFonts w:asciiTheme="majorHAnsi" w:hAnsiTheme="majorHAnsi" w:cstheme="majorHAnsi"/>
          <w:sz w:val="16"/>
          <w:szCs w:val="16"/>
        </w:rPr>
        <w:t xml:space="preserve">to ensure they are operating safely </w:t>
      </w:r>
      <w:r w:rsidR="0033655E" w:rsidRPr="00BC3673">
        <w:rPr>
          <w:rFonts w:asciiTheme="majorHAnsi" w:hAnsiTheme="majorHAnsi" w:cstheme="majorHAnsi"/>
          <w:sz w:val="16"/>
          <w:szCs w:val="16"/>
        </w:rPr>
        <w:t xml:space="preserve">in line with the </w:t>
      </w:r>
      <w:r w:rsidR="0033655E" w:rsidRPr="00BC3673">
        <w:rPr>
          <w:rFonts w:asciiTheme="majorHAnsi" w:hAnsiTheme="majorHAnsi" w:cstheme="majorHAnsi"/>
          <w:b/>
          <w:bCs/>
          <w:sz w:val="16"/>
          <w:szCs w:val="16"/>
        </w:rPr>
        <w:t>control</w:t>
      </w:r>
      <w:r w:rsidR="00237C34"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 measures </w:t>
      </w:r>
      <w:r w:rsidR="0033655E" w:rsidRPr="00BC3673">
        <w:rPr>
          <w:rFonts w:asciiTheme="majorHAnsi" w:hAnsiTheme="majorHAnsi" w:cstheme="majorHAnsi"/>
          <w:sz w:val="16"/>
          <w:szCs w:val="16"/>
        </w:rPr>
        <w:t>detailed below.</w:t>
      </w:r>
    </w:p>
    <w:p w14:paraId="59EC4E97" w14:textId="77777777" w:rsidR="003B3956" w:rsidRPr="00BC3673" w:rsidRDefault="003B3956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p w14:paraId="7F7C714F" w14:textId="0CEDEC0C" w:rsidR="0033655E" w:rsidRPr="00BC3673" w:rsidRDefault="00C7468E" w:rsidP="00067251">
      <w:pPr>
        <w:contextualSpacing/>
        <w:rPr>
          <w:rFonts w:asciiTheme="majorHAnsi" w:hAnsiTheme="majorHAnsi" w:cstheme="majorHAnsi"/>
          <w:sz w:val="16"/>
          <w:szCs w:val="16"/>
        </w:rPr>
      </w:pPr>
      <w:r w:rsidRPr="00BC3673">
        <w:rPr>
          <w:rFonts w:asciiTheme="majorHAnsi" w:hAnsiTheme="majorHAnsi" w:cstheme="majorHAnsi"/>
          <w:b/>
          <w:bCs/>
          <w:sz w:val="16"/>
          <w:szCs w:val="16"/>
        </w:rPr>
        <w:t>Control</w:t>
      </w:r>
      <w:r w:rsidR="00237C34"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 measures </w:t>
      </w:r>
      <w:r w:rsidR="00237C34" w:rsidRPr="00BC3673">
        <w:rPr>
          <w:rFonts w:asciiTheme="majorHAnsi" w:hAnsiTheme="majorHAnsi" w:cstheme="majorHAnsi"/>
          <w:sz w:val="16"/>
          <w:szCs w:val="16"/>
        </w:rPr>
        <w:t>(controls</w:t>
      </w:r>
      <w:r w:rsidR="00A40860" w:rsidRPr="00BC3673">
        <w:rPr>
          <w:rFonts w:asciiTheme="majorHAnsi" w:hAnsiTheme="majorHAnsi" w:cstheme="majorHAnsi"/>
          <w:sz w:val="16"/>
          <w:szCs w:val="16"/>
        </w:rPr>
        <w:t xml:space="preserve">) </w:t>
      </w:r>
      <w:r w:rsidR="00237C34" w:rsidRPr="00BC3673">
        <w:rPr>
          <w:rFonts w:asciiTheme="majorHAnsi" w:hAnsiTheme="majorHAnsi" w:cstheme="majorHAnsi"/>
          <w:sz w:val="16"/>
          <w:szCs w:val="16"/>
        </w:rPr>
        <w:t>are</w:t>
      </w:r>
      <w:r w:rsidR="00A40860" w:rsidRPr="00BC3673">
        <w:rPr>
          <w:rFonts w:asciiTheme="majorHAnsi" w:hAnsiTheme="majorHAnsi" w:cstheme="majorHAnsi"/>
          <w:sz w:val="16"/>
          <w:szCs w:val="16"/>
        </w:rPr>
        <w:t xml:space="preserve"> procedures put in place to reduce risk and prevent harm</w:t>
      </w:r>
      <w:r w:rsidR="00BE4B52">
        <w:rPr>
          <w:rFonts w:asciiTheme="majorHAnsi" w:hAnsiTheme="majorHAnsi" w:cstheme="majorHAnsi"/>
          <w:sz w:val="16"/>
          <w:szCs w:val="16"/>
        </w:rPr>
        <w:t xml:space="preserve">. </w:t>
      </w:r>
      <w:r w:rsidR="00A36DB9" w:rsidRPr="00BC3673">
        <w:rPr>
          <w:rFonts w:asciiTheme="majorHAnsi" w:hAnsiTheme="majorHAnsi" w:cstheme="majorHAnsi"/>
          <w:sz w:val="16"/>
          <w:szCs w:val="16"/>
        </w:rPr>
        <w:t>The below controls</w:t>
      </w:r>
      <w:r w:rsidR="0039561C" w:rsidRPr="00BC367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39561C" w:rsidRPr="00BE4B52">
        <w:rPr>
          <w:rFonts w:asciiTheme="majorHAnsi" w:hAnsiTheme="majorHAnsi" w:cstheme="majorHAnsi"/>
          <w:b/>
          <w:bCs/>
          <w:color w:val="4472C4" w:themeColor="accent1"/>
          <w:sz w:val="16"/>
          <w:szCs w:val="16"/>
        </w:rPr>
        <w:t>shown in blue</w:t>
      </w:r>
      <w:r w:rsidR="0039561C" w:rsidRPr="00BC3673">
        <w:rPr>
          <w:rFonts w:asciiTheme="majorHAnsi" w:hAnsiTheme="majorHAnsi" w:cstheme="majorHAnsi"/>
          <w:color w:val="4472C4" w:themeColor="accent1"/>
          <w:sz w:val="16"/>
          <w:szCs w:val="16"/>
        </w:rPr>
        <w:t xml:space="preserve"> </w:t>
      </w:r>
      <w:r w:rsidR="00A36DB9" w:rsidRPr="00BC3673">
        <w:rPr>
          <w:rFonts w:asciiTheme="majorHAnsi" w:hAnsiTheme="majorHAnsi" w:cstheme="majorHAnsi"/>
          <w:sz w:val="16"/>
          <w:szCs w:val="16"/>
        </w:rPr>
        <w:t>are listed from most-effective</w:t>
      </w:r>
      <w:r w:rsidR="00172D8F" w:rsidRPr="00BC3673">
        <w:rPr>
          <w:rFonts w:asciiTheme="majorHAnsi" w:hAnsiTheme="majorHAnsi" w:cstheme="majorHAnsi"/>
          <w:sz w:val="16"/>
          <w:szCs w:val="16"/>
        </w:rPr>
        <w:t xml:space="preserve"> 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to least effective – </w:t>
      </w:r>
      <w:r w:rsidR="00172D8F" w:rsidRPr="00BC3673">
        <w:rPr>
          <w:rFonts w:asciiTheme="majorHAnsi" w:hAnsiTheme="majorHAnsi" w:cstheme="majorHAnsi"/>
          <w:sz w:val="16"/>
          <w:szCs w:val="16"/>
        </w:rPr>
        <w:t>with</w:t>
      </w:r>
      <w:r w:rsidR="00D612BA" w:rsidRPr="00BC3673">
        <w:rPr>
          <w:rFonts w:asciiTheme="majorHAnsi" w:hAnsiTheme="majorHAnsi" w:cstheme="majorHAnsi"/>
          <w:sz w:val="16"/>
          <w:szCs w:val="16"/>
        </w:rPr>
        <w:t xml:space="preserve"> those</w:t>
      </w:r>
      <w:r w:rsidR="00172D8F" w:rsidRPr="00BC3673">
        <w:rPr>
          <w:rFonts w:asciiTheme="majorHAnsi" w:hAnsiTheme="majorHAnsi" w:cstheme="majorHAnsi"/>
          <w:sz w:val="16"/>
          <w:szCs w:val="16"/>
        </w:rPr>
        <w:t xml:space="preserve"> listed first being</w:t>
      </w:r>
      <w:r w:rsidR="00A36DB9" w:rsidRPr="00BC3673">
        <w:rPr>
          <w:rFonts w:asciiTheme="majorHAnsi" w:hAnsiTheme="majorHAnsi" w:cstheme="majorHAnsi"/>
          <w:sz w:val="16"/>
          <w:szCs w:val="16"/>
        </w:rPr>
        <w:t xml:space="preserve"> preferable as these are more sustainable and require less </w:t>
      </w:r>
      <w:r w:rsidR="00346764" w:rsidRPr="00BC3673">
        <w:rPr>
          <w:rFonts w:asciiTheme="majorHAnsi" w:hAnsiTheme="majorHAnsi" w:cstheme="majorHAnsi"/>
          <w:sz w:val="16"/>
          <w:szCs w:val="16"/>
        </w:rPr>
        <w:t>monitoring/</w:t>
      </w:r>
      <w:r w:rsidR="00A36DB9" w:rsidRPr="00BC3673">
        <w:rPr>
          <w:rFonts w:asciiTheme="majorHAnsi" w:hAnsiTheme="majorHAnsi" w:cstheme="majorHAnsi"/>
          <w:sz w:val="16"/>
          <w:szCs w:val="16"/>
        </w:rPr>
        <w:t>supervision</w:t>
      </w:r>
      <w:r w:rsidR="00A40860" w:rsidRPr="00BC3673">
        <w:rPr>
          <w:rFonts w:asciiTheme="majorHAnsi" w:hAnsiTheme="majorHAnsi" w:cstheme="majorHAnsi"/>
          <w:sz w:val="16"/>
          <w:szCs w:val="16"/>
        </w:rPr>
        <w:t>:</w:t>
      </w:r>
    </w:p>
    <w:p w14:paraId="71CDA26B" w14:textId="77777777" w:rsidR="00A40860" w:rsidRPr="00BC3673" w:rsidRDefault="00A40860" w:rsidP="00067251">
      <w:pPr>
        <w:contextualSpacing/>
        <w:rPr>
          <w:rFonts w:asciiTheme="majorHAnsi" w:hAnsiTheme="majorHAnsi" w:cstheme="majorHAnsi"/>
          <w:color w:val="4472C4" w:themeColor="accent1"/>
          <w:sz w:val="16"/>
          <w:szCs w:val="16"/>
        </w:rPr>
      </w:pPr>
    </w:p>
    <w:p w14:paraId="75501D7C" w14:textId="77777777" w:rsidR="00067251" w:rsidRPr="00E6465A" w:rsidRDefault="00A36DB9" w:rsidP="00067251">
      <w:pPr>
        <w:contextualSpacing/>
        <w:rPr>
          <w:rFonts w:asciiTheme="majorHAnsi" w:hAnsiTheme="majorHAnsi" w:cstheme="majorHAnsi"/>
          <w:b/>
          <w:bCs/>
          <w:color w:val="4472C4" w:themeColor="accent1"/>
          <w:sz w:val="18"/>
          <w:szCs w:val="18"/>
          <w:u w:val="single"/>
        </w:rPr>
      </w:pPr>
      <w:r w:rsidRPr="00E6465A">
        <w:rPr>
          <w:rFonts w:asciiTheme="majorHAnsi" w:hAnsiTheme="majorHAnsi" w:cstheme="majorHAnsi"/>
          <w:b/>
          <w:bCs/>
          <w:color w:val="4472C4" w:themeColor="accent1"/>
          <w:sz w:val="18"/>
          <w:szCs w:val="18"/>
          <w:u w:val="single"/>
        </w:rPr>
        <w:t>Elimination</w:t>
      </w:r>
    </w:p>
    <w:p w14:paraId="3CD1DFC3" w14:textId="7440CEF2" w:rsidR="00A36DB9" w:rsidRPr="00E6465A" w:rsidRDefault="00A36DB9" w:rsidP="00067251">
      <w:pPr>
        <w:contextualSpacing/>
        <w:rPr>
          <w:rFonts w:asciiTheme="majorHAnsi" w:hAnsiTheme="majorHAnsi" w:cstheme="majorHAnsi"/>
          <w:b/>
          <w:bCs/>
          <w:color w:val="4472C4" w:themeColor="accent1"/>
          <w:sz w:val="18"/>
          <w:szCs w:val="18"/>
          <w:u w:val="single"/>
        </w:rPr>
      </w:pPr>
      <w:r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Weapons should only be used in a production if their presence is integral to the piece.</w:t>
      </w:r>
    </w:p>
    <w:p w14:paraId="11F07170" w14:textId="6C1E15F4" w:rsidR="00110776" w:rsidRPr="00E6465A" w:rsidRDefault="00A36DB9" w:rsidP="00067251">
      <w:pPr>
        <w:contextualSpacing/>
        <w:rPr>
          <w:rFonts w:asciiTheme="majorHAnsi" w:hAnsiTheme="majorHAnsi" w:cstheme="majorHAnsi"/>
          <w:color w:val="4472C4" w:themeColor="accent1"/>
          <w:sz w:val="18"/>
          <w:szCs w:val="18"/>
        </w:rPr>
      </w:pPr>
      <w:r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If no justification can be given, then the use of weapons on a production should be eliminated.</w:t>
      </w:r>
    </w:p>
    <w:p w14:paraId="0AB63FFA" w14:textId="0CC10069" w:rsidR="00A24A61" w:rsidRPr="00BE4B52" w:rsidRDefault="00A24A61" w:rsidP="00067251">
      <w:pPr>
        <w:contextualSpacing/>
        <w:rPr>
          <w:rFonts w:asciiTheme="majorHAnsi" w:hAnsiTheme="majorHAnsi" w:cstheme="majorHAnsi"/>
          <w:color w:val="4472C4" w:themeColor="accent1"/>
          <w:sz w:val="8"/>
          <w:szCs w:val="8"/>
        </w:rPr>
      </w:pPr>
    </w:p>
    <w:p w14:paraId="309DF45A" w14:textId="2C8E3136" w:rsidR="00A24A61" w:rsidRPr="00E6465A" w:rsidRDefault="00A24A61" w:rsidP="00067251">
      <w:pPr>
        <w:contextualSpacing/>
        <w:rPr>
          <w:rFonts w:asciiTheme="majorHAnsi" w:hAnsiTheme="majorHAnsi" w:cstheme="majorHAnsi"/>
          <w:b/>
          <w:bCs/>
          <w:color w:val="4472C4" w:themeColor="accent1"/>
          <w:sz w:val="18"/>
          <w:szCs w:val="18"/>
          <w:u w:val="single"/>
        </w:rPr>
      </w:pPr>
      <w:r w:rsidRPr="00E6465A">
        <w:rPr>
          <w:rFonts w:asciiTheme="majorHAnsi" w:hAnsiTheme="majorHAnsi" w:cstheme="majorHAnsi"/>
          <w:b/>
          <w:bCs/>
          <w:color w:val="4472C4" w:themeColor="accent1"/>
          <w:sz w:val="18"/>
          <w:szCs w:val="18"/>
          <w:u w:val="single"/>
        </w:rPr>
        <w:t>Substitution</w:t>
      </w:r>
    </w:p>
    <w:p w14:paraId="01C409E8" w14:textId="7211CA8D" w:rsidR="00A72678" w:rsidRPr="00E6465A" w:rsidRDefault="00110776" w:rsidP="00067251">
      <w:pPr>
        <w:contextualSpacing/>
        <w:rPr>
          <w:rFonts w:asciiTheme="majorHAnsi" w:hAnsiTheme="majorHAnsi" w:cstheme="majorHAnsi"/>
          <w:color w:val="4472C4" w:themeColor="accent1"/>
          <w:sz w:val="18"/>
          <w:szCs w:val="18"/>
        </w:rPr>
      </w:pPr>
      <w:r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If a weapon does need to be used as part of the production, consider substituti</w:t>
      </w:r>
      <w:r w:rsidR="00A72678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ng the described/intended prop for one that signifies relevance, or deduces </w:t>
      </w:r>
      <w:r w:rsidR="00397B96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risk </w:t>
      </w:r>
      <w:r w:rsidR="00A72678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the </w:t>
      </w:r>
      <w:r w:rsidR="00C04BCB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causing harm.</w:t>
      </w:r>
      <w:r w:rsidR="00BE4B52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 </w:t>
      </w:r>
      <w:r w:rsidR="00526D26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The substitution should </w:t>
      </w:r>
      <w:r w:rsidR="00B97CAB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reduce the risk of injury</w:t>
      </w:r>
      <w:r w:rsidR="00305BF1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 to the user/others and/</w:t>
      </w:r>
      <w:r w:rsidR="00555E9C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or</w:t>
      </w:r>
      <w:r w:rsidR="00B97CAB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 no longer be identifiable as a weapon</w:t>
      </w:r>
      <w:r w:rsidR="00305BF1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.</w:t>
      </w:r>
    </w:p>
    <w:p w14:paraId="7736E8F4" w14:textId="30DF4897" w:rsidR="0013301D" w:rsidRPr="00BE4B52" w:rsidRDefault="0013301D" w:rsidP="00067251">
      <w:pPr>
        <w:contextualSpacing/>
        <w:rPr>
          <w:rFonts w:asciiTheme="majorHAnsi" w:hAnsiTheme="majorHAnsi" w:cstheme="majorHAnsi"/>
          <w:color w:val="4472C4" w:themeColor="accent1"/>
          <w:sz w:val="8"/>
          <w:szCs w:val="8"/>
        </w:rPr>
      </w:pPr>
    </w:p>
    <w:p w14:paraId="7DC0EB54" w14:textId="77777777" w:rsidR="00A40860" w:rsidRPr="00E6465A" w:rsidRDefault="00A40860" w:rsidP="00A40860">
      <w:pPr>
        <w:contextualSpacing/>
        <w:rPr>
          <w:rFonts w:asciiTheme="majorHAnsi" w:hAnsiTheme="majorHAnsi" w:cstheme="majorHAnsi"/>
          <w:b/>
          <w:bCs/>
          <w:color w:val="4472C4" w:themeColor="accent1"/>
          <w:sz w:val="18"/>
          <w:szCs w:val="18"/>
          <w:u w:val="single"/>
        </w:rPr>
      </w:pPr>
      <w:r w:rsidRPr="00E6465A">
        <w:rPr>
          <w:rFonts w:asciiTheme="majorHAnsi" w:hAnsiTheme="majorHAnsi" w:cstheme="majorHAnsi"/>
          <w:b/>
          <w:bCs/>
          <w:color w:val="4472C4" w:themeColor="accent1"/>
          <w:sz w:val="18"/>
          <w:szCs w:val="18"/>
          <w:u w:val="single"/>
        </w:rPr>
        <w:t>Personal Protective Equipment</w:t>
      </w:r>
    </w:p>
    <w:p w14:paraId="6D110287" w14:textId="7A05C6F2" w:rsidR="00A40860" w:rsidRPr="00E6465A" w:rsidRDefault="00A40860" w:rsidP="00A40860">
      <w:pPr>
        <w:contextualSpacing/>
        <w:rPr>
          <w:rFonts w:asciiTheme="majorHAnsi" w:hAnsiTheme="majorHAnsi" w:cstheme="majorHAnsi"/>
          <w:color w:val="4472C4" w:themeColor="accent1"/>
          <w:sz w:val="18"/>
          <w:szCs w:val="18"/>
        </w:rPr>
      </w:pPr>
      <w:r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PPE should be the final solution when using weapons but may be deemed necessary for those handling a </w:t>
      </w:r>
      <w:r w:rsidR="00D741FB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weapon/</w:t>
      </w:r>
      <w:r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prop.</w:t>
      </w:r>
    </w:p>
    <w:p w14:paraId="409AEF8D" w14:textId="588235D8" w:rsidR="00A40860" w:rsidRPr="00E6465A" w:rsidRDefault="00A40860" w:rsidP="00A40860">
      <w:pPr>
        <w:contextualSpacing/>
        <w:rPr>
          <w:rFonts w:asciiTheme="majorHAnsi" w:hAnsiTheme="majorHAnsi" w:cstheme="majorHAnsi"/>
          <w:color w:val="4472C4" w:themeColor="accent1"/>
          <w:sz w:val="18"/>
          <w:szCs w:val="18"/>
        </w:rPr>
      </w:pPr>
      <w:r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>Consider is the use of appropriate protective equipment will reduce the risk of persons</w:t>
      </w:r>
      <w:r w:rsidR="00D741FB"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 working</w:t>
      </w:r>
      <w:r w:rsidRPr="00E6465A">
        <w:rPr>
          <w:rFonts w:asciiTheme="majorHAnsi" w:hAnsiTheme="majorHAnsi" w:cstheme="majorHAnsi"/>
          <w:color w:val="4472C4" w:themeColor="accent1"/>
          <w:sz w:val="18"/>
          <w:szCs w:val="18"/>
        </w:rPr>
        <w:t xml:space="preserve"> on a production sustaining harm.</w:t>
      </w:r>
    </w:p>
    <w:p w14:paraId="1658733E" w14:textId="77777777" w:rsidR="0039561C" w:rsidRPr="00BC3673" w:rsidRDefault="0039561C" w:rsidP="00A40860">
      <w:pPr>
        <w:contextualSpacing/>
        <w:rPr>
          <w:rFonts w:asciiTheme="majorHAnsi" w:hAnsiTheme="majorHAnsi" w:cstheme="majorHAnsi"/>
          <w:color w:val="4472C4" w:themeColor="accent1"/>
          <w:sz w:val="16"/>
          <w:szCs w:val="16"/>
        </w:rPr>
      </w:pPr>
    </w:p>
    <w:tbl>
      <w:tblPr>
        <w:tblStyle w:val="TableGrid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346"/>
      </w:tblGrid>
      <w:tr w:rsidR="00991A15" w:rsidRPr="00BC3673" w14:paraId="3EF99962" w14:textId="77777777" w:rsidTr="004006D5">
        <w:tc>
          <w:tcPr>
            <w:tcW w:w="10346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4A290148" w14:textId="5D686EEE" w:rsidR="00BC3673" w:rsidRPr="00E6465A" w:rsidRDefault="000430B8" w:rsidP="000430B8">
            <w:pPr>
              <w:contextualSpacing/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  <w:u w:val="single"/>
              </w:rPr>
            </w:pPr>
            <w:r w:rsidRPr="00E6465A">
              <w:rPr>
                <w:rFonts w:asciiTheme="majorHAnsi" w:hAnsiTheme="majorHAnsi" w:cstheme="majorHAnsi"/>
                <w:color w:val="FF0000"/>
                <w:sz w:val="24"/>
                <w:szCs w:val="24"/>
                <w:u w:val="single"/>
              </w:rPr>
              <w:t xml:space="preserve">Safe Working Practice when deploying </w:t>
            </w:r>
            <w:r w:rsidR="00E74421">
              <w:rPr>
                <w:rFonts w:asciiTheme="majorHAnsi" w:hAnsiTheme="majorHAnsi" w:cstheme="majorHAnsi"/>
                <w:color w:val="FF0000"/>
                <w:sz w:val="24"/>
                <w:szCs w:val="24"/>
                <w:u w:val="single"/>
              </w:rPr>
              <w:t>‘</w:t>
            </w:r>
            <w:r w:rsidRPr="00E6465A">
              <w:rPr>
                <w:rFonts w:asciiTheme="majorHAnsi" w:hAnsiTheme="majorHAnsi" w:cstheme="majorHAnsi"/>
                <w:color w:val="FF0000"/>
                <w:sz w:val="24"/>
                <w:szCs w:val="24"/>
                <w:u w:val="single"/>
              </w:rPr>
              <w:t>weapons</w:t>
            </w:r>
            <w:r w:rsidR="00E74421">
              <w:rPr>
                <w:rFonts w:asciiTheme="majorHAnsi" w:hAnsiTheme="majorHAnsi" w:cstheme="majorHAnsi"/>
                <w:color w:val="FF0000"/>
                <w:sz w:val="24"/>
                <w:szCs w:val="24"/>
                <w:u w:val="single"/>
              </w:rPr>
              <w:t>’</w:t>
            </w:r>
            <w:r w:rsidRPr="00E6465A">
              <w:rPr>
                <w:rFonts w:asciiTheme="majorHAnsi" w:hAnsiTheme="majorHAnsi" w:cstheme="majorHAnsi"/>
                <w:color w:val="FF0000"/>
                <w:sz w:val="24"/>
                <w:szCs w:val="24"/>
                <w:u w:val="single"/>
              </w:rPr>
              <w:t xml:space="preserve"> on a production</w:t>
            </w:r>
          </w:p>
          <w:p w14:paraId="442911C5" w14:textId="77777777" w:rsidR="00F1507B" w:rsidRPr="004006D5" w:rsidRDefault="00F1507B" w:rsidP="00D741FB">
            <w:pPr>
              <w:contextualSpacing/>
              <w:rPr>
                <w:rFonts w:asciiTheme="majorHAnsi" w:hAnsiTheme="majorHAnsi" w:cstheme="majorHAnsi"/>
                <w:b/>
                <w:bCs/>
                <w:color w:val="FF0000"/>
                <w:sz w:val="8"/>
                <w:szCs w:val="8"/>
              </w:rPr>
            </w:pPr>
          </w:p>
          <w:p w14:paraId="2762F639" w14:textId="79248E1C" w:rsidR="00D741FB" w:rsidRPr="00BE4B52" w:rsidRDefault="00D741FB" w:rsidP="00D741F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</w:pPr>
            <w:r w:rsidRPr="00BE4B52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  <w:t>Gain Permission</w:t>
            </w:r>
          </w:p>
          <w:p w14:paraId="797525AF" w14:textId="10EB5E72" w:rsidR="00652636" w:rsidRPr="00BE4B52" w:rsidRDefault="00D741FB" w:rsidP="00D741FB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Notify the relevant authori</w:t>
            </w:r>
            <w:r w:rsidR="00A87E15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ties </w:t>
            </w:r>
            <w:r w:rsidR="00A87E15" w:rsidRPr="00BE4B52">
              <w:rPr>
                <w:rFonts w:asciiTheme="majorHAnsi" w:hAnsiTheme="majorHAnsi" w:cstheme="majorHAnsi"/>
                <w:i/>
                <w:iCs/>
                <w:color w:val="FF0000"/>
                <w:sz w:val="18"/>
                <w:szCs w:val="18"/>
              </w:rPr>
              <w:t>before</w:t>
            </w:r>
            <w:r w:rsidR="00A87E15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deploying weapons</w:t>
            </w:r>
            <w:r w:rsidR="00652636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, giving </w:t>
            </w: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as much detail as possible</w:t>
            </w:r>
            <w:r w:rsidR="00652636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about its use.</w:t>
            </w:r>
          </w:p>
          <w:p w14:paraId="7BFEAD9D" w14:textId="77777777" w:rsidR="00BC3673" w:rsidRPr="00BE4B52" w:rsidRDefault="00BC3673" w:rsidP="00D741FB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8"/>
                <w:szCs w:val="8"/>
              </w:rPr>
            </w:pPr>
          </w:p>
          <w:p w14:paraId="24A30B73" w14:textId="0D445E8D" w:rsidR="00D741FB" w:rsidRPr="00BE4B52" w:rsidRDefault="00E74421" w:rsidP="00D741F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  <w:t>Manage</w:t>
            </w:r>
          </w:p>
          <w:p w14:paraId="4A537465" w14:textId="77777777" w:rsidR="00652636" w:rsidRPr="00BE4B52" w:rsidRDefault="00D741FB" w:rsidP="00D741FB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The production must nominate person(s) responsible for the management of weapon/props, for the full duration of </w:t>
            </w:r>
            <w:r w:rsidR="00652636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the production.</w:t>
            </w:r>
          </w:p>
          <w:p w14:paraId="1DFAF0F4" w14:textId="3204153B" w:rsidR="00D741FB" w:rsidRPr="00BE4B52" w:rsidRDefault="00D741FB" w:rsidP="00D741FB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The role oversees the safe distribution of weapon/props on behalf of the production</w:t>
            </w:r>
            <w:r w:rsidR="0039561C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and ensures they are</w:t>
            </w:r>
            <w:r w:rsidR="00652636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being used</w:t>
            </w:r>
            <w:r w:rsidR="0039561C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="008E57F6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in a safe and suitably way.</w:t>
            </w:r>
          </w:p>
          <w:p w14:paraId="25A67F3E" w14:textId="4CD80BF9" w:rsidR="00D741FB" w:rsidRPr="004006D5" w:rsidRDefault="00D741FB" w:rsidP="004006D5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4006D5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 suitable, and lockable, storage containe</w:t>
            </w:r>
            <w:r w:rsidR="008E57F6" w:rsidRPr="004006D5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r</w:t>
            </w:r>
            <w:r w:rsidRPr="004006D5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must be use for the storage and transport of weapons used in a production.</w:t>
            </w:r>
          </w:p>
          <w:p w14:paraId="69852BF9" w14:textId="77777777" w:rsidR="008E57F6" w:rsidRPr="00BE4B52" w:rsidRDefault="00D741FB" w:rsidP="00D741FB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The Armourer is responsible for this </w:t>
            </w:r>
            <w:r w:rsidR="005B1A94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container and</w:t>
            </w: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must ensure they do all that is reasonably practicable to avoid unauthorised access.</w:t>
            </w:r>
            <w:r w:rsidR="00114C94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</w:p>
          <w:p w14:paraId="483285C8" w14:textId="0152DEFE" w:rsidR="00D741FB" w:rsidRPr="00BE4B52" w:rsidRDefault="008E57F6" w:rsidP="00D741FB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Any p</w:t>
            </w:r>
            <w:r w:rsidR="00114C94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ersons </w:t>
            </w: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handling</w:t>
            </w:r>
            <w:r w:rsidR="00114C94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the weapon/props must do so following </w:t>
            </w:r>
            <w:r w:rsidR="0013301D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 suitable induction detailing the hazards and controls in place.</w:t>
            </w:r>
          </w:p>
          <w:p w14:paraId="0B4295FC" w14:textId="77777777" w:rsidR="00F1507B" w:rsidRPr="00BE4B52" w:rsidRDefault="00F1507B" w:rsidP="00D741FB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8"/>
                <w:szCs w:val="8"/>
              </w:rPr>
            </w:pPr>
          </w:p>
          <w:p w14:paraId="49FA3955" w14:textId="27BDED0C" w:rsidR="00F1507B" w:rsidRPr="00BE4B52" w:rsidRDefault="00F1507B" w:rsidP="000430B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</w:pPr>
            <w:r w:rsidRPr="00BE4B52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  <w:t>Educate</w:t>
            </w:r>
            <w:r w:rsidR="00652636" w:rsidRPr="00BE4B52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  <w:t xml:space="preserve"> &amp;</w:t>
            </w:r>
            <w:r w:rsidR="000430B8" w:rsidRPr="00BE4B52">
              <w:rPr>
                <w:rFonts w:asciiTheme="majorHAnsi" w:hAnsiTheme="majorHAnsi" w:cstheme="majorHAnsi"/>
                <w:b/>
                <w:bCs/>
                <w:color w:val="FF0000"/>
                <w:sz w:val="18"/>
                <w:szCs w:val="18"/>
              </w:rPr>
              <w:t xml:space="preserve"> Inform</w:t>
            </w:r>
          </w:p>
          <w:p w14:paraId="7BD53FB2" w14:textId="44935C59" w:rsidR="000430B8" w:rsidRPr="000430B8" w:rsidRDefault="000430B8" w:rsidP="000430B8">
            <w:pPr>
              <w:pStyle w:val="ListParagraph"/>
              <w:ind w:left="36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Ensure</w:t>
            </w:r>
            <w:r w:rsidR="00F1507B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that all production staff are aware of the risks involved with the use of </w:t>
            </w:r>
            <w:r w:rsidR="00652636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weapons and</w:t>
            </w: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have read/access to relevant </w:t>
            </w:r>
            <w:r w:rsidR="00C95A9A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documents</w:t>
            </w: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detailing </w:t>
            </w:r>
            <w:r w:rsidR="00286A35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approved </w:t>
            </w:r>
            <w:r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control measures</w:t>
            </w:r>
            <w:r w:rsidR="00286A35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. </w:t>
            </w:r>
            <w:r w:rsidR="00E6465A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Ultimately,</w:t>
            </w:r>
            <w:r w:rsidR="00286A35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="00E6465A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monitor that productions </w:t>
            </w:r>
            <w:r w:rsidR="00286A35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continue to </w:t>
            </w:r>
            <w:r w:rsidR="00E6465A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o</w:t>
            </w:r>
            <w:r w:rsidR="00C95A9A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bserve these controls</w:t>
            </w:r>
            <w:r w:rsidR="00E6465A" w:rsidRPr="00BE4B5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throughout.</w:t>
            </w:r>
          </w:p>
        </w:tc>
      </w:tr>
    </w:tbl>
    <w:p w14:paraId="1D87B333" w14:textId="77777777" w:rsidR="00BE4B52" w:rsidRPr="00BC3673" w:rsidRDefault="00BE4B52" w:rsidP="00067251">
      <w:pPr>
        <w:contextualSpacing/>
        <w:rPr>
          <w:rFonts w:asciiTheme="majorHAnsi" w:hAnsiTheme="majorHAnsi" w:cstheme="majorHAnsi"/>
          <w:sz w:val="16"/>
          <w:szCs w:val="16"/>
        </w:rPr>
      </w:pPr>
    </w:p>
    <w:sectPr w:rsidR="00BE4B52" w:rsidRPr="00BC3673" w:rsidSect="00D34DE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6983" w14:textId="77777777" w:rsidR="007F39FE" w:rsidRDefault="007F39FE" w:rsidP="00A36DB9">
      <w:pPr>
        <w:spacing w:after="0" w:line="240" w:lineRule="auto"/>
      </w:pPr>
      <w:r>
        <w:separator/>
      </w:r>
    </w:p>
  </w:endnote>
  <w:endnote w:type="continuationSeparator" w:id="0">
    <w:p w14:paraId="7E3C9A10" w14:textId="77777777" w:rsidR="007F39FE" w:rsidRDefault="007F39FE" w:rsidP="00A3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506D" w14:textId="77777777" w:rsidR="007F39FE" w:rsidRDefault="007F39FE" w:rsidP="00A36DB9">
      <w:pPr>
        <w:spacing w:after="0" w:line="240" w:lineRule="auto"/>
      </w:pPr>
      <w:r>
        <w:separator/>
      </w:r>
    </w:p>
  </w:footnote>
  <w:footnote w:type="continuationSeparator" w:id="0">
    <w:p w14:paraId="1F3E9FAC" w14:textId="77777777" w:rsidR="007F39FE" w:rsidRDefault="007F39FE" w:rsidP="00A3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BDC6" w14:textId="4AD96B1C" w:rsidR="0059579F" w:rsidRPr="0059579F" w:rsidRDefault="0059579F" w:rsidP="0059579F">
    <w:pPr>
      <w:pStyle w:val="Header"/>
      <w:jc w:val="right"/>
      <w:rPr>
        <w:color w:val="AEAAAA" w:themeColor="background2" w:themeShade="BF"/>
        <w:sz w:val="12"/>
        <w:szCs w:val="12"/>
      </w:rPr>
    </w:pPr>
    <w:r w:rsidRPr="0059579F">
      <w:rPr>
        <w:color w:val="AEAAAA" w:themeColor="background2" w:themeShade="BF"/>
        <w:sz w:val="12"/>
        <w:szCs w:val="12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74E"/>
    <w:multiLevelType w:val="hybridMultilevel"/>
    <w:tmpl w:val="823489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E1D2B"/>
    <w:multiLevelType w:val="hybridMultilevel"/>
    <w:tmpl w:val="FF34119A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3A615A"/>
    <w:multiLevelType w:val="hybridMultilevel"/>
    <w:tmpl w:val="E0B07CE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342269"/>
    <w:multiLevelType w:val="hybridMultilevel"/>
    <w:tmpl w:val="F5EE32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529080">
    <w:abstractNumId w:val="0"/>
  </w:num>
  <w:num w:numId="2" w16cid:durableId="1513374767">
    <w:abstractNumId w:val="1"/>
  </w:num>
  <w:num w:numId="3" w16cid:durableId="111018312">
    <w:abstractNumId w:val="3"/>
  </w:num>
  <w:num w:numId="4" w16cid:durableId="104818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EC"/>
    <w:rsid w:val="00012876"/>
    <w:rsid w:val="000430B8"/>
    <w:rsid w:val="00067251"/>
    <w:rsid w:val="000B7CCE"/>
    <w:rsid w:val="00104ED9"/>
    <w:rsid w:val="00110776"/>
    <w:rsid w:val="001108E6"/>
    <w:rsid w:val="00114C94"/>
    <w:rsid w:val="0013301D"/>
    <w:rsid w:val="00172D8F"/>
    <w:rsid w:val="001916C5"/>
    <w:rsid w:val="00192AB1"/>
    <w:rsid w:val="001B2148"/>
    <w:rsid w:val="00237C34"/>
    <w:rsid w:val="00286A35"/>
    <w:rsid w:val="002B6328"/>
    <w:rsid w:val="002E1A52"/>
    <w:rsid w:val="00305BF1"/>
    <w:rsid w:val="0033655E"/>
    <w:rsid w:val="00346764"/>
    <w:rsid w:val="00367F14"/>
    <w:rsid w:val="00376BE9"/>
    <w:rsid w:val="0039561C"/>
    <w:rsid w:val="00397B96"/>
    <w:rsid w:val="003B05ED"/>
    <w:rsid w:val="003B18E1"/>
    <w:rsid w:val="003B3956"/>
    <w:rsid w:val="004006D5"/>
    <w:rsid w:val="00443259"/>
    <w:rsid w:val="004C5EFD"/>
    <w:rsid w:val="005175F9"/>
    <w:rsid w:val="00526D26"/>
    <w:rsid w:val="00555E9C"/>
    <w:rsid w:val="00573874"/>
    <w:rsid w:val="0059579F"/>
    <w:rsid w:val="005B1A94"/>
    <w:rsid w:val="005C1503"/>
    <w:rsid w:val="005D41D8"/>
    <w:rsid w:val="006338B5"/>
    <w:rsid w:val="00652636"/>
    <w:rsid w:val="00706415"/>
    <w:rsid w:val="00760BA8"/>
    <w:rsid w:val="007A7524"/>
    <w:rsid w:val="007F39FE"/>
    <w:rsid w:val="00892129"/>
    <w:rsid w:val="008E57F6"/>
    <w:rsid w:val="00991A15"/>
    <w:rsid w:val="00A1368B"/>
    <w:rsid w:val="00A24A61"/>
    <w:rsid w:val="00A31500"/>
    <w:rsid w:val="00A36DB9"/>
    <w:rsid w:val="00A40860"/>
    <w:rsid w:val="00A438D7"/>
    <w:rsid w:val="00A43EAB"/>
    <w:rsid w:val="00A6426C"/>
    <w:rsid w:val="00A72678"/>
    <w:rsid w:val="00A87E15"/>
    <w:rsid w:val="00AB7486"/>
    <w:rsid w:val="00AE5C2F"/>
    <w:rsid w:val="00B56C51"/>
    <w:rsid w:val="00B97CAB"/>
    <w:rsid w:val="00BA5DFC"/>
    <w:rsid w:val="00BC3673"/>
    <w:rsid w:val="00BE4B52"/>
    <w:rsid w:val="00C04BCB"/>
    <w:rsid w:val="00C157BE"/>
    <w:rsid w:val="00C211FC"/>
    <w:rsid w:val="00C7468E"/>
    <w:rsid w:val="00C84D70"/>
    <w:rsid w:val="00C95A9A"/>
    <w:rsid w:val="00CC5022"/>
    <w:rsid w:val="00CD1F0D"/>
    <w:rsid w:val="00D34DEC"/>
    <w:rsid w:val="00D612BA"/>
    <w:rsid w:val="00D71A82"/>
    <w:rsid w:val="00D741FB"/>
    <w:rsid w:val="00D93329"/>
    <w:rsid w:val="00DA2FBE"/>
    <w:rsid w:val="00DB43F1"/>
    <w:rsid w:val="00DD4C9D"/>
    <w:rsid w:val="00E15132"/>
    <w:rsid w:val="00E42900"/>
    <w:rsid w:val="00E6465A"/>
    <w:rsid w:val="00E74421"/>
    <w:rsid w:val="00EC0BFD"/>
    <w:rsid w:val="00ED5043"/>
    <w:rsid w:val="00EE78B2"/>
    <w:rsid w:val="00EF0345"/>
    <w:rsid w:val="00F077A4"/>
    <w:rsid w:val="00F1507B"/>
    <w:rsid w:val="00F206CC"/>
    <w:rsid w:val="00F2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F7B0"/>
  <w15:docId w15:val="{A4EB12E2-151C-405C-B0C2-C3B63883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B9"/>
  </w:style>
  <w:style w:type="paragraph" w:styleId="Footer">
    <w:name w:val="footer"/>
    <w:basedOn w:val="Normal"/>
    <w:link w:val="FooterChar"/>
    <w:uiPriority w:val="99"/>
    <w:unhideWhenUsed/>
    <w:rsid w:val="00A36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B9"/>
  </w:style>
  <w:style w:type="table" w:styleId="TableGrid">
    <w:name w:val="Table Grid"/>
    <w:basedOn w:val="TableNormal"/>
    <w:uiPriority w:val="39"/>
    <w:rsid w:val="00A3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Coulson, Jonny</dc:creator>
  <cp:keywords/>
  <dc:description/>
  <cp:lastModifiedBy>Coulson, Jonny</cp:lastModifiedBy>
  <cp:revision>87</cp:revision>
  <dcterms:created xsi:type="dcterms:W3CDTF">2022-11-18T14:33:00Z</dcterms:created>
  <dcterms:modified xsi:type="dcterms:W3CDTF">2023-01-12T08:56:00Z</dcterms:modified>
</cp:coreProperties>
</file>